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0875A1AC" w14:textId="79FDBE2A" w:rsidR="006B622A" w:rsidRDefault="006B622A" w:rsidP="005E20CE">
      <w:pPr>
        <w:spacing w:line="240" w:lineRule="auto"/>
        <w:jc w:val="center"/>
        <w:rPr>
          <w:rFonts w:ascii="Times New Roman" w:hAnsi="Times New Roman"/>
          <w:sz w:val="24"/>
          <w:szCs w:val="24"/>
        </w:rPr>
      </w:pPr>
      <w:r>
        <w:rPr>
          <w:rFonts w:ascii="Times New Roman" w:hAnsi="Times New Roman"/>
          <w:sz w:val="24"/>
          <w:szCs w:val="24"/>
        </w:rPr>
        <w:t>SPECIAL MEETING</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44A0B1F0" w14:textId="77777777" w:rsidR="00101C96" w:rsidRDefault="00101C96" w:rsidP="005E20CE">
      <w:pPr>
        <w:spacing w:line="240" w:lineRule="auto"/>
        <w:jc w:val="center"/>
        <w:rPr>
          <w:rFonts w:ascii="Times New Roman" w:hAnsi="Times New Roman"/>
          <w:sz w:val="24"/>
          <w:szCs w:val="24"/>
        </w:rPr>
      </w:pPr>
    </w:p>
    <w:p w14:paraId="3D34A4D2" w14:textId="4E9173D9" w:rsidR="005E20CE" w:rsidRDefault="00AA4570" w:rsidP="005E20CE">
      <w:pPr>
        <w:spacing w:after="0" w:line="240" w:lineRule="auto"/>
        <w:rPr>
          <w:rFonts w:ascii="Times New Roman" w:hAnsi="Times New Roman"/>
          <w:sz w:val="24"/>
          <w:szCs w:val="24"/>
        </w:rPr>
      </w:pPr>
      <w:r>
        <w:rPr>
          <w:rFonts w:ascii="Times New Roman" w:hAnsi="Times New Roman"/>
          <w:sz w:val="24"/>
          <w:szCs w:val="24"/>
        </w:rPr>
        <w:t>June 30</w:t>
      </w:r>
      <w:r w:rsidR="005E20CE">
        <w:rPr>
          <w:rFonts w:ascii="Times New Roman" w:hAnsi="Times New Roman"/>
          <w:sz w:val="24"/>
          <w:szCs w:val="24"/>
        </w:rPr>
        <w:t>, 202</w:t>
      </w:r>
      <w:r w:rsidR="00F80F80">
        <w:rPr>
          <w:rFonts w:ascii="Times New Roman" w:hAnsi="Times New Roman"/>
          <w:sz w:val="24"/>
          <w:szCs w:val="24"/>
        </w:rPr>
        <w:t>5</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5F34275D"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w:t>
      </w:r>
      <w:r w:rsidR="006B622A">
        <w:rPr>
          <w:rFonts w:ascii="Times New Roman" w:hAnsi="Times New Roman"/>
          <w:sz w:val="24"/>
          <w:szCs w:val="24"/>
        </w:rPr>
        <w:t>special</w:t>
      </w:r>
      <w:r w:rsidRPr="00D81837">
        <w:rPr>
          <w:rFonts w:ascii="Times New Roman" w:hAnsi="Times New Roman"/>
          <w:sz w:val="24"/>
          <w:szCs w:val="24"/>
        </w:rPr>
        <w:t xml:space="preserve"> session on</w:t>
      </w:r>
      <w:r w:rsidR="006B622A">
        <w:rPr>
          <w:rFonts w:ascii="Times New Roman" w:hAnsi="Times New Roman"/>
          <w:sz w:val="24"/>
          <w:szCs w:val="24"/>
        </w:rPr>
        <w:t xml:space="preserve"> </w:t>
      </w:r>
      <w:r w:rsidR="00946F54">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AA4570">
        <w:rPr>
          <w:rFonts w:ascii="Times New Roman" w:hAnsi="Times New Roman"/>
          <w:sz w:val="24"/>
          <w:szCs w:val="24"/>
        </w:rPr>
        <w:t>June 30</w:t>
      </w:r>
      <w:r w:rsidRPr="00D81837">
        <w:rPr>
          <w:rFonts w:ascii="Times New Roman" w:hAnsi="Times New Roman"/>
          <w:sz w:val="24"/>
          <w:szCs w:val="24"/>
        </w:rPr>
        <w:t>, 202</w:t>
      </w:r>
      <w:r w:rsidR="00F80F80">
        <w:rPr>
          <w:rFonts w:ascii="Times New Roman" w:hAnsi="Times New Roman"/>
          <w:sz w:val="24"/>
          <w:szCs w:val="24"/>
        </w:rPr>
        <w:t>5</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w:t>
      </w:r>
      <w:r w:rsidR="001A2667">
        <w:rPr>
          <w:rFonts w:ascii="Times New Roman" w:hAnsi="Times New Roman"/>
          <w:sz w:val="24"/>
          <w:szCs w:val="24"/>
        </w:rPr>
        <w:t xml:space="preserve"> </w:t>
      </w:r>
      <w:r w:rsidRPr="00D81837">
        <w:rPr>
          <w:rFonts w:ascii="Times New Roman" w:hAnsi="Times New Roman"/>
          <w:sz w:val="24"/>
          <w:szCs w:val="24"/>
        </w:rPr>
        <w:t xml:space="preserve">Roll Call: </w:t>
      </w:r>
      <w:r w:rsidR="00537A02">
        <w:rPr>
          <w:rFonts w:ascii="Times New Roman" w:hAnsi="Times New Roman"/>
          <w:sz w:val="24"/>
          <w:szCs w:val="24"/>
        </w:rPr>
        <w:t>Hughes</w:t>
      </w:r>
      <w:r w:rsidR="00724919">
        <w:rPr>
          <w:rFonts w:ascii="Times New Roman" w:hAnsi="Times New Roman"/>
          <w:sz w:val="24"/>
          <w:szCs w:val="24"/>
        </w:rPr>
        <w:t xml:space="preserve">, </w:t>
      </w:r>
      <w:r w:rsidR="00AA4570">
        <w:rPr>
          <w:rFonts w:ascii="Times New Roman" w:hAnsi="Times New Roman"/>
          <w:sz w:val="24"/>
          <w:szCs w:val="24"/>
        </w:rPr>
        <w:t xml:space="preserve">A. Goergen, Redfield, B. Goergen and </w:t>
      </w:r>
      <w:r w:rsidR="006B622A">
        <w:rPr>
          <w:rFonts w:ascii="Times New Roman" w:hAnsi="Times New Roman"/>
          <w:sz w:val="24"/>
          <w:szCs w:val="24"/>
        </w:rPr>
        <w:t>Roscoe.</w:t>
      </w:r>
      <w:r w:rsidR="003C3A33" w:rsidRPr="00D81837">
        <w:rPr>
          <w:rFonts w:ascii="Times New Roman" w:hAnsi="Times New Roman"/>
          <w:sz w:val="24"/>
          <w:szCs w:val="24"/>
        </w:rPr>
        <w:t xml:space="preserve"> </w:t>
      </w:r>
      <w:r w:rsidR="006B622A">
        <w:rPr>
          <w:rFonts w:ascii="Times New Roman" w:hAnsi="Times New Roman"/>
          <w:sz w:val="24"/>
          <w:szCs w:val="24"/>
        </w:rPr>
        <w:t xml:space="preserve">Absent: </w:t>
      </w:r>
      <w:r w:rsidR="00AA4570">
        <w:rPr>
          <w:rFonts w:ascii="Times New Roman" w:hAnsi="Times New Roman"/>
          <w:sz w:val="24"/>
          <w:szCs w:val="24"/>
        </w:rPr>
        <w:t>Stoddard</w:t>
      </w:r>
      <w:r w:rsidR="006B622A">
        <w:rPr>
          <w:rFonts w:ascii="Times New Roman" w:hAnsi="Times New Roman"/>
          <w:sz w:val="24"/>
          <w:szCs w:val="24"/>
        </w:rPr>
        <w:t xml:space="preserve">. </w:t>
      </w:r>
      <w:r w:rsidRPr="00D81837">
        <w:rPr>
          <w:rFonts w:ascii="Times New Roman" w:hAnsi="Times New Roman"/>
          <w:sz w:val="24"/>
          <w:szCs w:val="24"/>
        </w:rPr>
        <w:t>Others present:</w:t>
      </w:r>
      <w:r w:rsidR="00655FB4" w:rsidRPr="00D81837">
        <w:rPr>
          <w:rFonts w:ascii="Times New Roman" w:hAnsi="Times New Roman"/>
          <w:sz w:val="24"/>
          <w:szCs w:val="24"/>
        </w:rPr>
        <w:t xml:space="preserve"> </w:t>
      </w:r>
      <w:r w:rsidR="00AA4570">
        <w:rPr>
          <w:rFonts w:ascii="Times New Roman" w:hAnsi="Times New Roman"/>
          <w:sz w:val="24"/>
          <w:szCs w:val="24"/>
        </w:rPr>
        <w:t xml:space="preserve">Attorney Stock, </w:t>
      </w:r>
      <w:r w:rsidR="00655FB4" w:rsidRPr="00D81837">
        <w:rPr>
          <w:rFonts w:ascii="Times New Roman" w:hAnsi="Times New Roman"/>
          <w:sz w:val="24"/>
          <w:szCs w:val="24"/>
        </w:rPr>
        <w:t>Nancy Lee</w:t>
      </w:r>
      <w:r w:rsidR="00AA4570">
        <w:rPr>
          <w:rFonts w:ascii="Times New Roman" w:hAnsi="Times New Roman"/>
          <w:sz w:val="24"/>
          <w:szCs w:val="24"/>
        </w:rPr>
        <w:t>, Redgey Rademacher, Bryan Austin along with 20 others in attendance</w:t>
      </w:r>
      <w:r w:rsidR="00F80F80">
        <w:rPr>
          <w:rFonts w:ascii="Times New Roman" w:hAnsi="Times New Roman"/>
          <w:sz w:val="24"/>
          <w:szCs w:val="24"/>
        </w:rPr>
        <w:t>.</w:t>
      </w:r>
    </w:p>
    <w:p w14:paraId="50132402" w14:textId="6B9F1EB6" w:rsidR="00DA635D"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b/>
        <w:t>The Pledge of Allegiance and the South Dakota State Pledge were recited.</w:t>
      </w:r>
    </w:p>
    <w:p w14:paraId="162F66A5" w14:textId="54707B77" w:rsidR="005073C2" w:rsidRDefault="005874EA" w:rsidP="007E2265">
      <w:pPr>
        <w:rPr>
          <w:rFonts w:ascii="Times New Roman" w:hAnsi="Times New Roman"/>
          <w:sz w:val="24"/>
          <w:szCs w:val="24"/>
        </w:rPr>
      </w:pPr>
      <w:r>
        <w:rPr>
          <w:rFonts w:ascii="Times New Roman" w:hAnsi="Times New Roman"/>
          <w:sz w:val="24"/>
          <w:szCs w:val="24"/>
        </w:rPr>
        <w:tab/>
      </w:r>
      <w:r w:rsidR="00AA4570">
        <w:rPr>
          <w:rFonts w:ascii="Times New Roman" w:hAnsi="Times New Roman"/>
          <w:sz w:val="24"/>
          <w:szCs w:val="24"/>
        </w:rPr>
        <w:t>Hughes</w:t>
      </w:r>
      <w:r w:rsidR="005073C2">
        <w:rPr>
          <w:rFonts w:ascii="Times New Roman" w:hAnsi="Times New Roman"/>
          <w:sz w:val="24"/>
          <w:szCs w:val="24"/>
        </w:rPr>
        <w:t xml:space="preserve"> made a motion to </w:t>
      </w:r>
      <w:r w:rsidR="00946F54">
        <w:rPr>
          <w:rFonts w:ascii="Times New Roman" w:hAnsi="Times New Roman"/>
          <w:sz w:val="24"/>
          <w:szCs w:val="24"/>
        </w:rPr>
        <w:t xml:space="preserve">approve the </w:t>
      </w:r>
      <w:r w:rsidR="00AA4570">
        <w:rPr>
          <w:rFonts w:ascii="Times New Roman" w:hAnsi="Times New Roman"/>
          <w:sz w:val="24"/>
          <w:szCs w:val="24"/>
        </w:rPr>
        <w:t>bills</w:t>
      </w:r>
      <w:r w:rsidR="005073C2">
        <w:rPr>
          <w:rFonts w:ascii="Times New Roman" w:hAnsi="Times New Roman"/>
          <w:sz w:val="24"/>
          <w:szCs w:val="24"/>
        </w:rPr>
        <w:t xml:space="preserve"> with </w:t>
      </w:r>
      <w:r w:rsidR="00AA4570">
        <w:rPr>
          <w:rFonts w:ascii="Times New Roman" w:hAnsi="Times New Roman"/>
          <w:sz w:val="24"/>
          <w:szCs w:val="24"/>
        </w:rPr>
        <w:t>Redfield</w:t>
      </w:r>
      <w:r w:rsidR="005073C2">
        <w:rPr>
          <w:rFonts w:ascii="Times New Roman" w:hAnsi="Times New Roman"/>
          <w:sz w:val="24"/>
          <w:szCs w:val="24"/>
        </w:rPr>
        <w:t xml:space="preserve"> second</w:t>
      </w:r>
      <w:r w:rsidR="00946F54">
        <w:rPr>
          <w:rFonts w:ascii="Times New Roman" w:hAnsi="Times New Roman"/>
          <w:sz w:val="24"/>
          <w:szCs w:val="24"/>
        </w:rPr>
        <w:t>ed</w:t>
      </w:r>
      <w:r w:rsidR="005073C2">
        <w:rPr>
          <w:rFonts w:ascii="Times New Roman" w:hAnsi="Times New Roman"/>
          <w:sz w:val="24"/>
          <w:szCs w:val="24"/>
        </w:rPr>
        <w:t xml:space="preserve">. Upon roll call the Ayes: </w:t>
      </w:r>
      <w:r w:rsidR="00946F54">
        <w:rPr>
          <w:rFonts w:ascii="Times New Roman" w:hAnsi="Times New Roman"/>
          <w:sz w:val="24"/>
          <w:szCs w:val="24"/>
        </w:rPr>
        <w:t>B. Goergen</w:t>
      </w:r>
      <w:r w:rsidR="005073C2">
        <w:rPr>
          <w:rFonts w:ascii="Times New Roman" w:hAnsi="Times New Roman"/>
          <w:sz w:val="24"/>
          <w:szCs w:val="24"/>
        </w:rPr>
        <w:t>,</w:t>
      </w:r>
      <w:r w:rsidR="00946F54">
        <w:rPr>
          <w:rFonts w:ascii="Times New Roman" w:hAnsi="Times New Roman"/>
          <w:sz w:val="24"/>
          <w:szCs w:val="24"/>
        </w:rPr>
        <w:t xml:space="preserve"> </w:t>
      </w:r>
      <w:r w:rsidR="00AA4570">
        <w:rPr>
          <w:rFonts w:ascii="Times New Roman" w:hAnsi="Times New Roman"/>
          <w:sz w:val="24"/>
          <w:szCs w:val="24"/>
        </w:rPr>
        <w:t>Hughes</w:t>
      </w:r>
      <w:r w:rsidR="00946F54">
        <w:rPr>
          <w:rFonts w:ascii="Times New Roman" w:hAnsi="Times New Roman"/>
          <w:sz w:val="24"/>
          <w:szCs w:val="24"/>
        </w:rPr>
        <w:t xml:space="preserve">, </w:t>
      </w:r>
      <w:r w:rsidR="005073C2">
        <w:rPr>
          <w:rFonts w:ascii="Times New Roman" w:hAnsi="Times New Roman"/>
          <w:sz w:val="24"/>
          <w:szCs w:val="24"/>
        </w:rPr>
        <w:t xml:space="preserve">Roscoe, </w:t>
      </w:r>
      <w:r w:rsidR="00AA4570">
        <w:rPr>
          <w:rFonts w:ascii="Times New Roman" w:hAnsi="Times New Roman"/>
          <w:sz w:val="24"/>
          <w:szCs w:val="24"/>
        </w:rPr>
        <w:t xml:space="preserve">Redfield </w:t>
      </w:r>
      <w:r w:rsidR="005073C2">
        <w:rPr>
          <w:rFonts w:ascii="Times New Roman" w:hAnsi="Times New Roman"/>
          <w:sz w:val="24"/>
          <w:szCs w:val="24"/>
        </w:rPr>
        <w:t xml:space="preserve">and </w:t>
      </w:r>
      <w:r w:rsidR="00AA4570">
        <w:rPr>
          <w:rFonts w:ascii="Times New Roman" w:hAnsi="Times New Roman"/>
          <w:sz w:val="24"/>
          <w:szCs w:val="24"/>
        </w:rPr>
        <w:t>A. Goergen</w:t>
      </w:r>
      <w:r w:rsidR="005073C2">
        <w:rPr>
          <w:rFonts w:ascii="Times New Roman" w:hAnsi="Times New Roman"/>
          <w:sz w:val="24"/>
          <w:szCs w:val="24"/>
        </w:rPr>
        <w:t xml:space="preserve">. Nayes: None. Absent: </w:t>
      </w:r>
      <w:r w:rsidR="00AA4570">
        <w:rPr>
          <w:rFonts w:ascii="Times New Roman" w:hAnsi="Times New Roman"/>
          <w:sz w:val="24"/>
          <w:szCs w:val="24"/>
        </w:rPr>
        <w:t>Stoddard</w:t>
      </w:r>
      <w:r w:rsidR="005073C2">
        <w:rPr>
          <w:rFonts w:ascii="Times New Roman" w:hAnsi="Times New Roman"/>
          <w:sz w:val="24"/>
          <w:szCs w:val="24"/>
        </w:rPr>
        <w:t>. Motion Carried.</w:t>
      </w:r>
    </w:p>
    <w:p w14:paraId="04310AB8" w14:textId="77777777" w:rsidR="005C1C64" w:rsidRDefault="005073C2" w:rsidP="005C1C64">
      <w:pPr>
        <w:rPr>
          <w:rFonts w:ascii="Times New Roman" w:eastAsiaTheme="minorHAnsi" w:hAnsi="Times New Roman"/>
          <w:kern w:val="2"/>
          <w:sz w:val="24"/>
          <w:szCs w:val="24"/>
          <w14:ligatures w14:val="standardContextual"/>
        </w:rPr>
      </w:pPr>
      <w:r>
        <w:rPr>
          <w:rFonts w:ascii="Times New Roman" w:hAnsi="Times New Roman"/>
          <w:sz w:val="24"/>
          <w:szCs w:val="24"/>
        </w:rPr>
        <w:tab/>
      </w:r>
      <w:r w:rsidR="005C1C64" w:rsidRPr="005C1C64">
        <w:rPr>
          <w:rFonts w:ascii="Times New Roman" w:eastAsiaTheme="minorHAnsi" w:hAnsi="Times New Roman"/>
          <w:kern w:val="2"/>
          <w:sz w:val="24"/>
          <w:szCs w:val="24"/>
          <w14:ligatures w14:val="standardContextual"/>
        </w:rPr>
        <w:t>Advanced Technologies $561.98, Cinta $629.76, Dept of Energy $13,310.54, Fluegel Anderson McLaughlin $2,195.30, Health Pool $10,157.21, IRS $3,838.66, IRS $ 3,941.77, Midco $426.62, Midwest Irrigation $815.71, Missouri Basin S-1 $75.00, Missouri Basin TSA $6,819.10, Nancy Lee $ 609.90, Ortonville Independent $161.00, Petty Cash $254.51, Plunkett’s $486.74, Porter Distributing $669.25, Postmaster $211.12, POS Phase 3 $146.68, Sharaye Redfield $19.13, SD Dept of Revenue $3,728.56, SD Dept of Revenue $2,455.34, Steve’s Landscaping $162.50, TJ Rabe $667.47, Verizon $155.40, VISA $710.70, Waste Management $5,068.99 Payroll 6/9/25 $5,784.32, Payroll 6/9/25 $6,485.86, Payroll 6/22/25 $5,773.75, Payroll 6/22/25 $6,561.56</w:t>
      </w:r>
    </w:p>
    <w:p w14:paraId="35E50C6E" w14:textId="49BAE6B6" w:rsidR="008D6A64" w:rsidRDefault="008D6A64" w:rsidP="005C1C64">
      <w:pPr>
        <w:rPr>
          <w:rFonts w:ascii="Times New Roman" w:eastAsiaTheme="minorHAnsi" w:hAnsi="Times New Roman"/>
          <w:kern w:val="2"/>
          <w:sz w:val="24"/>
          <w:szCs w:val="24"/>
          <w14:ligatures w14:val="standardContextual"/>
        </w:rPr>
      </w:pPr>
      <w:r>
        <w:rPr>
          <w:rFonts w:ascii="Times New Roman" w:eastAsiaTheme="minorHAnsi" w:hAnsi="Times New Roman"/>
          <w:kern w:val="2"/>
          <w:sz w:val="24"/>
          <w:szCs w:val="24"/>
          <w14:ligatures w14:val="standardContextual"/>
        </w:rPr>
        <w:tab/>
      </w:r>
      <w:r w:rsidR="00984D8D">
        <w:rPr>
          <w:rFonts w:ascii="Times New Roman" w:eastAsiaTheme="minorHAnsi" w:hAnsi="Times New Roman"/>
          <w:kern w:val="2"/>
          <w:sz w:val="24"/>
          <w:szCs w:val="24"/>
          <w14:ligatures w14:val="standardContextual"/>
        </w:rPr>
        <w:t>Public comments: None.</w:t>
      </w:r>
    </w:p>
    <w:p w14:paraId="698EE348" w14:textId="3F5F8CC3" w:rsidR="00984D8D" w:rsidRDefault="00984D8D" w:rsidP="005C1C64">
      <w:pPr>
        <w:rPr>
          <w:rFonts w:ascii="Times New Roman" w:eastAsiaTheme="minorHAnsi" w:hAnsi="Times New Roman"/>
          <w:kern w:val="2"/>
          <w:sz w:val="24"/>
          <w:szCs w:val="24"/>
          <w14:ligatures w14:val="standardContextual"/>
        </w:rPr>
      </w:pPr>
      <w:r>
        <w:rPr>
          <w:rFonts w:ascii="Times New Roman" w:eastAsiaTheme="minorHAnsi" w:hAnsi="Times New Roman"/>
          <w:kern w:val="2"/>
          <w:sz w:val="24"/>
          <w:szCs w:val="24"/>
          <w14:ligatures w14:val="standardContextual"/>
        </w:rPr>
        <w:tab/>
        <w:t>Attorney Stock discussed the land annexation resolution. Mayor Brown ask</w:t>
      </w:r>
      <w:r w:rsidR="00A053C8">
        <w:rPr>
          <w:rFonts w:ascii="Times New Roman" w:eastAsiaTheme="minorHAnsi" w:hAnsi="Times New Roman"/>
          <w:kern w:val="2"/>
          <w:sz w:val="24"/>
          <w:szCs w:val="24"/>
          <w14:ligatures w14:val="standardContextual"/>
        </w:rPr>
        <w:t>ed</w:t>
      </w:r>
      <w:r>
        <w:rPr>
          <w:rFonts w:ascii="Times New Roman" w:eastAsiaTheme="minorHAnsi" w:hAnsi="Times New Roman"/>
          <w:kern w:val="2"/>
          <w:sz w:val="24"/>
          <w:szCs w:val="24"/>
          <w14:ligatures w14:val="standardContextual"/>
        </w:rPr>
        <w:t xml:space="preserve"> if there are any public comments or questions. No public comments or questions arose.</w:t>
      </w:r>
    </w:p>
    <w:p w14:paraId="46550182" w14:textId="29576A1B" w:rsidR="00D55A43" w:rsidRDefault="00D55A43" w:rsidP="005C1C64">
      <w:pPr>
        <w:rPr>
          <w:rFonts w:ascii="Times New Roman" w:eastAsiaTheme="minorHAnsi" w:hAnsi="Times New Roman"/>
          <w:kern w:val="2"/>
          <w:sz w:val="24"/>
          <w:szCs w:val="24"/>
          <w14:ligatures w14:val="standardContextual"/>
        </w:rPr>
      </w:pPr>
      <w:r>
        <w:rPr>
          <w:rFonts w:ascii="Times New Roman" w:eastAsiaTheme="minorHAnsi" w:hAnsi="Times New Roman"/>
          <w:kern w:val="2"/>
          <w:sz w:val="24"/>
          <w:szCs w:val="24"/>
          <w14:ligatures w14:val="standardContextual"/>
        </w:rPr>
        <w:tab/>
        <w:t xml:space="preserve">Roscoe made a motion to approve Resolution 2025-03 with Redfield seconded. Upon Roll call Ayes: B. Goergen, Redfield, A. Goergen and Roscoe. Abstain: Hughes.  Absent: Stoddard. </w:t>
      </w:r>
      <w:r w:rsidR="00423D06">
        <w:rPr>
          <w:rFonts w:ascii="Times New Roman" w:eastAsiaTheme="minorHAnsi" w:hAnsi="Times New Roman"/>
          <w:kern w:val="2"/>
          <w:sz w:val="24"/>
          <w:szCs w:val="24"/>
          <w14:ligatures w14:val="standardContextual"/>
        </w:rPr>
        <w:t xml:space="preserve">Nayes: None. </w:t>
      </w:r>
      <w:r>
        <w:rPr>
          <w:rFonts w:ascii="Times New Roman" w:eastAsiaTheme="minorHAnsi" w:hAnsi="Times New Roman"/>
          <w:kern w:val="2"/>
          <w:sz w:val="24"/>
          <w:szCs w:val="24"/>
          <w14:ligatures w14:val="standardContextual"/>
        </w:rPr>
        <w:t>Motion Carried.</w:t>
      </w:r>
    </w:p>
    <w:p w14:paraId="33FD3A58" w14:textId="77777777" w:rsidR="00D55A43" w:rsidRPr="00D55A43" w:rsidRDefault="00D55A43" w:rsidP="00D55A43">
      <w:pPr>
        <w:spacing w:after="0" w:line="240" w:lineRule="auto"/>
        <w:jc w:val="center"/>
        <w:rPr>
          <w:rFonts w:ascii="Times New Roman" w:eastAsiaTheme="minorHAnsi" w:hAnsi="Times New Roman"/>
          <w:sz w:val="24"/>
          <w:szCs w:val="24"/>
        </w:rPr>
      </w:pPr>
      <w:r w:rsidRPr="00D55A43">
        <w:rPr>
          <w:rFonts w:ascii="Times New Roman" w:eastAsiaTheme="minorHAnsi" w:hAnsi="Times New Roman"/>
          <w:sz w:val="24"/>
          <w:szCs w:val="24"/>
        </w:rPr>
        <w:t>CITY OF BIG STONE CITY, A POLITICAL SUBDIVISION</w:t>
      </w:r>
    </w:p>
    <w:p w14:paraId="14B41E82" w14:textId="77777777" w:rsidR="00D55A43" w:rsidRPr="00D55A43" w:rsidRDefault="00D55A43" w:rsidP="00D55A43">
      <w:pPr>
        <w:spacing w:after="0" w:line="240" w:lineRule="auto"/>
        <w:jc w:val="center"/>
        <w:rPr>
          <w:rFonts w:ascii="Times New Roman" w:eastAsiaTheme="minorHAnsi" w:hAnsi="Times New Roman"/>
          <w:sz w:val="24"/>
          <w:szCs w:val="24"/>
        </w:rPr>
      </w:pPr>
      <w:r w:rsidRPr="00D55A43">
        <w:rPr>
          <w:rFonts w:ascii="Times New Roman" w:eastAsiaTheme="minorHAnsi" w:hAnsi="Times New Roman"/>
          <w:sz w:val="24"/>
          <w:szCs w:val="24"/>
        </w:rPr>
        <w:t>OF THE STATE OF SOUTH DAKOTA</w:t>
      </w:r>
    </w:p>
    <w:p w14:paraId="5D032137" w14:textId="77777777" w:rsidR="00D55A43" w:rsidRPr="00D55A43" w:rsidRDefault="00D55A43" w:rsidP="00D55A43">
      <w:pPr>
        <w:spacing w:after="0" w:line="240" w:lineRule="auto"/>
        <w:jc w:val="center"/>
        <w:rPr>
          <w:rFonts w:ascii="Times New Roman" w:eastAsiaTheme="minorHAnsi" w:hAnsi="Times New Roman"/>
          <w:sz w:val="24"/>
          <w:szCs w:val="24"/>
        </w:rPr>
      </w:pPr>
    </w:p>
    <w:p w14:paraId="5C1E1977" w14:textId="77777777" w:rsidR="00D55A43" w:rsidRPr="00D55A43" w:rsidRDefault="00D55A43" w:rsidP="00D55A43">
      <w:pPr>
        <w:spacing w:after="0" w:line="240" w:lineRule="auto"/>
        <w:jc w:val="center"/>
        <w:rPr>
          <w:rFonts w:ascii="Times New Roman" w:eastAsiaTheme="minorHAnsi" w:hAnsi="Times New Roman"/>
          <w:sz w:val="24"/>
          <w:szCs w:val="24"/>
        </w:rPr>
      </w:pPr>
    </w:p>
    <w:p w14:paraId="09C3C5F2" w14:textId="77777777" w:rsidR="00D55A43" w:rsidRPr="00D55A43" w:rsidRDefault="00D55A43" w:rsidP="00D55A43">
      <w:pPr>
        <w:spacing w:after="0" w:line="240" w:lineRule="auto"/>
        <w:jc w:val="center"/>
        <w:rPr>
          <w:rFonts w:ascii="Times New Roman" w:eastAsiaTheme="minorHAnsi" w:hAnsi="Times New Roman"/>
          <w:sz w:val="24"/>
          <w:szCs w:val="24"/>
        </w:rPr>
      </w:pPr>
      <w:r w:rsidRPr="00D55A43">
        <w:rPr>
          <w:rFonts w:ascii="Times New Roman" w:eastAsiaTheme="minorHAnsi" w:hAnsi="Times New Roman"/>
          <w:sz w:val="24"/>
          <w:szCs w:val="24"/>
        </w:rPr>
        <w:t>RESOLUTION 2025-03</w:t>
      </w:r>
    </w:p>
    <w:p w14:paraId="368D94FB" w14:textId="77777777" w:rsidR="00D55A43" w:rsidRPr="00D55A43" w:rsidRDefault="00D55A43" w:rsidP="00D55A43">
      <w:pPr>
        <w:spacing w:after="0" w:line="240" w:lineRule="auto"/>
        <w:jc w:val="center"/>
        <w:rPr>
          <w:rFonts w:ascii="Times New Roman" w:eastAsiaTheme="minorHAnsi" w:hAnsi="Times New Roman"/>
          <w:sz w:val="24"/>
          <w:szCs w:val="24"/>
        </w:rPr>
      </w:pPr>
      <w:r w:rsidRPr="00D55A43">
        <w:rPr>
          <w:rFonts w:ascii="Times New Roman" w:eastAsiaTheme="minorHAnsi" w:hAnsi="Times New Roman"/>
          <w:sz w:val="24"/>
          <w:szCs w:val="24"/>
        </w:rPr>
        <w:t xml:space="preserve">RESOLUTION TO EXTEND THE BOUNDARIES </w:t>
      </w:r>
    </w:p>
    <w:p w14:paraId="70992045" w14:textId="77777777" w:rsidR="00D55A43" w:rsidRPr="00D55A43" w:rsidRDefault="00D55A43" w:rsidP="00D55A43">
      <w:pPr>
        <w:spacing w:after="0" w:line="240" w:lineRule="auto"/>
        <w:jc w:val="center"/>
        <w:rPr>
          <w:rFonts w:ascii="Times New Roman" w:eastAsiaTheme="minorHAnsi" w:hAnsi="Times New Roman"/>
          <w:sz w:val="24"/>
          <w:szCs w:val="24"/>
        </w:rPr>
      </w:pPr>
      <w:r w:rsidRPr="00D55A43">
        <w:rPr>
          <w:rFonts w:ascii="Times New Roman" w:eastAsiaTheme="minorHAnsi" w:hAnsi="Times New Roman"/>
          <w:sz w:val="24"/>
          <w:szCs w:val="24"/>
        </w:rPr>
        <w:lastRenderedPageBreak/>
        <w:t>OF THE CITY OF BIG STONE CITY</w:t>
      </w:r>
    </w:p>
    <w:p w14:paraId="3D77F505" w14:textId="77777777" w:rsidR="00D55A43" w:rsidRPr="00D55A43" w:rsidRDefault="00D55A43" w:rsidP="00D55A43">
      <w:pPr>
        <w:spacing w:after="0" w:line="240" w:lineRule="auto"/>
        <w:rPr>
          <w:rFonts w:ascii="Times New Roman" w:eastAsiaTheme="minorHAnsi" w:hAnsi="Times New Roman"/>
          <w:sz w:val="24"/>
          <w:szCs w:val="24"/>
        </w:rPr>
      </w:pPr>
    </w:p>
    <w:p w14:paraId="3DFFA7B2" w14:textId="77777777" w:rsidR="00D55A43" w:rsidRPr="00D55A43" w:rsidRDefault="00D55A43" w:rsidP="00D55A43">
      <w:pPr>
        <w:spacing w:after="0" w:line="240" w:lineRule="auto"/>
        <w:rPr>
          <w:rFonts w:ascii="Times New Roman" w:eastAsiaTheme="minorHAnsi" w:hAnsi="Times New Roman"/>
          <w:sz w:val="24"/>
          <w:szCs w:val="24"/>
        </w:rPr>
      </w:pPr>
    </w:p>
    <w:p w14:paraId="13D11A34"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the City of Big Stone City has completed a Study as prescribed by SDCL      § 9-4-4.1 regarding extending its boundaries to determine the need for the contiguous territory described below and has identified the resources necessary to extend such municipal boundaries of the City of Big Stone City. </w:t>
      </w:r>
    </w:p>
    <w:p w14:paraId="57E6FBC1" w14:textId="77777777" w:rsidR="00D55A43" w:rsidRPr="00D55A43" w:rsidRDefault="00D55A43" w:rsidP="00D55A43">
      <w:pPr>
        <w:spacing w:after="0" w:line="240" w:lineRule="auto"/>
        <w:jc w:val="both"/>
        <w:rPr>
          <w:rFonts w:ascii="Times New Roman" w:eastAsiaTheme="minorHAnsi" w:hAnsi="Times New Roman"/>
          <w:sz w:val="24"/>
          <w:szCs w:val="24"/>
        </w:rPr>
      </w:pPr>
    </w:p>
    <w:p w14:paraId="53550429"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 xml:space="preserve">WHEREAS, the City of Big Stone City provided notice as required under SDCL § 9-4-4.3 and Hearing on Resolution of Annexation on June 30, 2025, as required under SDCL § 9-4-4.4. </w:t>
      </w:r>
    </w:p>
    <w:p w14:paraId="7F8D8C0E" w14:textId="77777777" w:rsidR="00D55A43" w:rsidRPr="00D55A43" w:rsidRDefault="00D55A43" w:rsidP="00D55A43">
      <w:pPr>
        <w:spacing w:after="0" w:line="240" w:lineRule="auto"/>
        <w:rPr>
          <w:rFonts w:ascii="Times New Roman" w:eastAsiaTheme="minorHAnsi" w:hAnsi="Times New Roman"/>
          <w:sz w:val="24"/>
          <w:szCs w:val="24"/>
        </w:rPr>
      </w:pPr>
    </w:p>
    <w:p w14:paraId="7442FC41"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the contiguous property to be annexed into the City of Big Stone City is described as: </w:t>
      </w:r>
    </w:p>
    <w:p w14:paraId="48D43D87" w14:textId="77777777" w:rsidR="00D55A43" w:rsidRPr="00D55A43" w:rsidRDefault="00D55A43" w:rsidP="00D55A43">
      <w:pPr>
        <w:numPr>
          <w:ilvl w:val="0"/>
          <w:numId w:val="2"/>
        </w:num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Parcel Number 03.46.18.5002- 18/121/46 That part of Cheese Co OL in NE ¼; and </w:t>
      </w:r>
    </w:p>
    <w:p w14:paraId="11493DE3" w14:textId="77777777" w:rsidR="00D55A43" w:rsidRPr="00D55A43" w:rsidRDefault="00D55A43" w:rsidP="00D55A43">
      <w:pPr>
        <w:numPr>
          <w:ilvl w:val="0"/>
          <w:numId w:val="2"/>
        </w:num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Parcel Number 03.46.18.5003- 18/121/46 Big Stone Cheese Co OL 1 in S1/2SE1/4NE1/4 and N1/2NE1/4SE1/4 </w:t>
      </w:r>
      <w:proofErr w:type="spellStart"/>
      <w:r w:rsidRPr="00D55A43">
        <w:rPr>
          <w:rFonts w:ascii="Times New Roman" w:eastAsiaTheme="minorHAnsi" w:hAnsi="Times New Roman"/>
          <w:sz w:val="24"/>
          <w:szCs w:val="24"/>
        </w:rPr>
        <w:t>exc</w:t>
      </w:r>
      <w:proofErr w:type="spellEnd"/>
      <w:r w:rsidRPr="00D55A43">
        <w:rPr>
          <w:rFonts w:ascii="Times New Roman" w:eastAsiaTheme="minorHAnsi" w:hAnsi="Times New Roman"/>
          <w:sz w:val="24"/>
          <w:szCs w:val="24"/>
        </w:rPr>
        <w:t xml:space="preserve"> Lot 2; </w:t>
      </w:r>
    </w:p>
    <w:p w14:paraId="41D7D8C6"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(“Contiguous Territory”) and the boundaries of such property are shown in Exhibit A. This Contiguous Territory was previously used as a Cheese Factory and has since ceased to be used as a Cheese Factory.    </w:t>
      </w:r>
    </w:p>
    <w:p w14:paraId="10A3FD53" w14:textId="77777777" w:rsidR="00D55A43" w:rsidRPr="00D55A43" w:rsidRDefault="00D55A43" w:rsidP="00D55A43">
      <w:pPr>
        <w:spacing w:after="0" w:line="240" w:lineRule="auto"/>
        <w:jc w:val="both"/>
        <w:rPr>
          <w:rFonts w:ascii="Times New Roman" w:eastAsiaTheme="minorHAnsi" w:hAnsi="Times New Roman"/>
          <w:sz w:val="24"/>
          <w:szCs w:val="24"/>
        </w:rPr>
      </w:pPr>
    </w:p>
    <w:p w14:paraId="7E3A0103"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as described in the Annexation Study, as on file with the City of Big Stone City Finance Office, ample and suitable resources exist to accommodate the orderly growth and development of the Contiguous Territory, including street and road services, water, sewer, including the use of the City lagoon, solid waste collection, fire protection, electrical, police protection, building inspection and ordinance enforcement, as well as other public services, such as parks and recreation. </w:t>
      </w:r>
    </w:p>
    <w:p w14:paraId="1245C235" w14:textId="77777777" w:rsidR="00D55A43" w:rsidRPr="00D55A43" w:rsidRDefault="00D55A43" w:rsidP="00D55A43">
      <w:pPr>
        <w:spacing w:after="0" w:line="240" w:lineRule="auto"/>
        <w:jc w:val="both"/>
        <w:rPr>
          <w:rFonts w:ascii="Times New Roman" w:eastAsiaTheme="minorHAnsi" w:hAnsi="Times New Roman"/>
          <w:sz w:val="24"/>
          <w:szCs w:val="24"/>
        </w:rPr>
      </w:pPr>
    </w:p>
    <w:p w14:paraId="1938374F"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the estimated tax difference in tax assessment rate for the residents in the Contiguous Territory would be the application of the City of Big Stone City levy of 4.026 and the elimination of the Township of Big Stone levy of .749, resulting in a $1,511.26 increase in the tax assessment rate for the Contiguous Territory, which includes an increase of $183.26 on Parcel Number 03.46.18.5003 and an increase of $1,328.00 on Parcel Number 03.46.18.5002. </w:t>
      </w:r>
    </w:p>
    <w:p w14:paraId="1CAE9330" w14:textId="77777777" w:rsidR="00D55A43" w:rsidRPr="00D55A43" w:rsidRDefault="00D55A43" w:rsidP="00D55A43">
      <w:pPr>
        <w:spacing w:after="0" w:line="240" w:lineRule="auto"/>
        <w:jc w:val="both"/>
        <w:rPr>
          <w:rFonts w:ascii="Times New Roman" w:eastAsiaTheme="minorHAnsi" w:hAnsi="Times New Roman"/>
          <w:sz w:val="24"/>
          <w:szCs w:val="24"/>
        </w:rPr>
      </w:pPr>
    </w:p>
    <w:p w14:paraId="705168D5"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the exclusions and irregularities in boundary lines are not the result of arbitrariness, but rather the result of continued orderly growth and the equitable development of infrastructure in the commercially zoned area addition, allowing for clearer ownership of structures within the municipal city limits. </w:t>
      </w:r>
    </w:p>
    <w:p w14:paraId="7E2FAFC2" w14:textId="77777777" w:rsidR="00D55A43" w:rsidRPr="00D55A43" w:rsidRDefault="00D55A43" w:rsidP="00D55A43">
      <w:pPr>
        <w:spacing w:after="0" w:line="240" w:lineRule="auto"/>
        <w:jc w:val="both"/>
        <w:rPr>
          <w:rFonts w:ascii="Times New Roman" w:eastAsiaTheme="minorHAnsi" w:hAnsi="Times New Roman"/>
          <w:sz w:val="24"/>
          <w:szCs w:val="24"/>
        </w:rPr>
      </w:pPr>
    </w:p>
    <w:p w14:paraId="06769366"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there is a reasonable present or demonstrable future need for annexing the Contiguous Territory to promote community growth and commercial development. </w:t>
      </w:r>
    </w:p>
    <w:p w14:paraId="0E017584" w14:textId="77777777" w:rsidR="00D55A43" w:rsidRPr="00D55A43" w:rsidRDefault="00D55A43" w:rsidP="00D55A43">
      <w:pPr>
        <w:spacing w:after="0" w:line="240" w:lineRule="auto"/>
        <w:jc w:val="both"/>
        <w:rPr>
          <w:rFonts w:ascii="Times New Roman" w:eastAsiaTheme="minorHAnsi" w:hAnsi="Times New Roman"/>
          <w:sz w:val="24"/>
          <w:szCs w:val="24"/>
        </w:rPr>
      </w:pPr>
    </w:p>
    <w:p w14:paraId="69060B0A"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t xml:space="preserve">WHEREAS there is a reasonable or demonstrable future need for annexing the Contiguous Territory due to the City’s position for development and the future development of such Contiguous Territory. The City has pledged support for the proactive pursuit of new businesses, including the development and future development of residential and commercial properties. </w:t>
      </w:r>
    </w:p>
    <w:p w14:paraId="27E2606B" w14:textId="77777777" w:rsidR="00D55A43" w:rsidRPr="00D55A43" w:rsidRDefault="00D55A43" w:rsidP="00D55A43">
      <w:pPr>
        <w:spacing w:after="0" w:line="240" w:lineRule="auto"/>
        <w:jc w:val="both"/>
        <w:rPr>
          <w:rFonts w:ascii="Times New Roman" w:eastAsiaTheme="minorHAnsi" w:hAnsi="Times New Roman"/>
          <w:sz w:val="24"/>
          <w:szCs w:val="24"/>
        </w:rPr>
      </w:pPr>
    </w:p>
    <w:p w14:paraId="32999DEC" w14:textId="77777777" w:rsidR="00D55A43" w:rsidRPr="00D55A43" w:rsidRDefault="00D55A43" w:rsidP="00D55A43">
      <w:pPr>
        <w:spacing w:after="0" w:line="240" w:lineRule="auto"/>
        <w:jc w:val="both"/>
        <w:rPr>
          <w:rFonts w:ascii="Times New Roman" w:eastAsiaTheme="minorHAnsi" w:hAnsi="Times New Roman"/>
          <w:sz w:val="24"/>
          <w:szCs w:val="24"/>
        </w:rPr>
      </w:pPr>
      <w:r w:rsidRPr="00D55A43">
        <w:rPr>
          <w:rFonts w:ascii="Times New Roman" w:eastAsiaTheme="minorHAnsi" w:hAnsi="Times New Roman"/>
          <w:sz w:val="24"/>
          <w:szCs w:val="24"/>
        </w:rPr>
        <w:lastRenderedPageBreak/>
        <w:t xml:space="preserve">WHEREAS population and census data indicate that the municipality has or may experience growth or development beyond its present boundaries, as this Contiguous Territory are two of the seven parcels that belong to the property formerly used as the Cheese Factory, and annexation of this Contiguous Property is necessary to preserve an equitable tax base of property, as islands of unincorporated lands lead to inefficiencies. With the Cheese Factory closed, this Contiguous Property is poised for growth and development of the entire parcel beyond what was previously used as the Cheese Factory. </w:t>
      </w:r>
    </w:p>
    <w:p w14:paraId="4A4C314A" w14:textId="77777777" w:rsidR="00D55A43" w:rsidRPr="00D55A43" w:rsidRDefault="00D55A43" w:rsidP="00D55A43">
      <w:pPr>
        <w:spacing w:after="0" w:line="240" w:lineRule="auto"/>
        <w:rPr>
          <w:rFonts w:ascii="Times New Roman" w:eastAsiaTheme="minorHAnsi" w:hAnsi="Times New Roman"/>
          <w:sz w:val="24"/>
          <w:szCs w:val="24"/>
        </w:rPr>
      </w:pPr>
    </w:p>
    <w:p w14:paraId="680BB374"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 xml:space="preserve">NOW THEREFORE, be it resolved that the City of Big Stone City, Grant County, South Dakota, after review of the Annexation Study reviewing Parcel No. 03.46.18.5002 and Parcel No. 03.46.18.5003, and Hearing on Resolution of Annexation, authorizes the Resolution to Annex such Contiguous Territory into the City of Big Stone City. </w:t>
      </w:r>
    </w:p>
    <w:p w14:paraId="23F06599" w14:textId="77777777" w:rsidR="00D55A43" w:rsidRPr="00D55A43" w:rsidRDefault="00D55A43" w:rsidP="00D55A43">
      <w:pPr>
        <w:spacing w:after="0" w:line="240" w:lineRule="auto"/>
        <w:rPr>
          <w:rFonts w:ascii="Times New Roman" w:eastAsiaTheme="minorHAnsi" w:hAnsi="Times New Roman"/>
          <w:sz w:val="24"/>
          <w:szCs w:val="24"/>
        </w:rPr>
      </w:pPr>
    </w:p>
    <w:p w14:paraId="58766D1B"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 xml:space="preserve">It is further resolved that this resolution is effective after its publication, notice, and hearing as required under SDCL § 9-4. </w:t>
      </w:r>
    </w:p>
    <w:p w14:paraId="52448C6F" w14:textId="77777777" w:rsidR="00D55A43" w:rsidRPr="00D55A43" w:rsidRDefault="00D55A43" w:rsidP="00D55A43">
      <w:pPr>
        <w:spacing w:after="0" w:line="240" w:lineRule="auto"/>
        <w:rPr>
          <w:rFonts w:ascii="Times New Roman" w:eastAsiaTheme="minorHAnsi" w:hAnsi="Times New Roman"/>
          <w:sz w:val="24"/>
          <w:szCs w:val="24"/>
        </w:rPr>
      </w:pPr>
    </w:p>
    <w:p w14:paraId="2ACC602F"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b/>
        <w:t>Dated this 30thday of June, 2025.</w:t>
      </w:r>
    </w:p>
    <w:p w14:paraId="7D92A717" w14:textId="77777777" w:rsidR="00D55A43" w:rsidRPr="00D55A43" w:rsidRDefault="00D55A43" w:rsidP="00D55A43">
      <w:pPr>
        <w:spacing w:after="0" w:line="240" w:lineRule="auto"/>
        <w:rPr>
          <w:rFonts w:ascii="Times New Roman" w:eastAsiaTheme="minorHAnsi" w:hAnsi="Times New Roman"/>
          <w:sz w:val="24"/>
          <w:szCs w:val="24"/>
        </w:rPr>
      </w:pPr>
    </w:p>
    <w:p w14:paraId="7E210A26"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t>City of Big Stone City, South Dakota</w:t>
      </w:r>
    </w:p>
    <w:p w14:paraId="548F4A1E"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t>a political subdivision of</w:t>
      </w:r>
    </w:p>
    <w:p w14:paraId="181B338C"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t>the State of South Dakota</w:t>
      </w:r>
    </w:p>
    <w:p w14:paraId="669542BF"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(SEAL)</w:t>
      </w:r>
    </w:p>
    <w:p w14:paraId="072E7EC5" w14:textId="77777777" w:rsidR="00D55A43" w:rsidRPr="00D55A43" w:rsidRDefault="00D55A43" w:rsidP="00D55A43">
      <w:pPr>
        <w:spacing w:after="0" w:line="240" w:lineRule="auto"/>
        <w:rPr>
          <w:rFonts w:ascii="Times New Roman" w:eastAsiaTheme="minorHAnsi" w:hAnsi="Times New Roman"/>
          <w:sz w:val="24"/>
          <w:szCs w:val="24"/>
        </w:rPr>
      </w:pPr>
    </w:p>
    <w:p w14:paraId="1DC1F5D4"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t>___________________________</w:t>
      </w:r>
    </w:p>
    <w:p w14:paraId="35008A93"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r>
      <w:r w:rsidRPr="00D55A43">
        <w:rPr>
          <w:rFonts w:ascii="Times New Roman" w:eastAsiaTheme="minorHAnsi" w:hAnsi="Times New Roman"/>
          <w:sz w:val="24"/>
          <w:szCs w:val="24"/>
        </w:rPr>
        <w:tab/>
        <w:t>Steve Brown, Mayor</w:t>
      </w:r>
    </w:p>
    <w:p w14:paraId="70D10AF5" w14:textId="77777777" w:rsidR="00D55A43" w:rsidRPr="00D55A43" w:rsidRDefault="00D55A43" w:rsidP="00D55A43">
      <w:pPr>
        <w:spacing w:after="0" w:line="240" w:lineRule="auto"/>
        <w:rPr>
          <w:rFonts w:ascii="Times New Roman" w:eastAsiaTheme="minorHAnsi" w:hAnsi="Times New Roman"/>
          <w:sz w:val="24"/>
          <w:szCs w:val="24"/>
        </w:rPr>
      </w:pPr>
      <w:r w:rsidRPr="00D55A43">
        <w:rPr>
          <w:rFonts w:ascii="Times New Roman" w:eastAsiaTheme="minorHAnsi" w:hAnsi="Times New Roman"/>
          <w:sz w:val="24"/>
          <w:szCs w:val="24"/>
        </w:rPr>
        <w:t>ATTEST:</w:t>
      </w:r>
    </w:p>
    <w:p w14:paraId="1E9E45E1" w14:textId="77777777" w:rsidR="00D55A43" w:rsidRPr="00D55A43" w:rsidRDefault="00D55A43" w:rsidP="00D55A43">
      <w:pPr>
        <w:spacing w:after="0" w:line="240" w:lineRule="auto"/>
        <w:rPr>
          <w:rFonts w:ascii="Arial" w:eastAsiaTheme="minorHAnsi" w:hAnsi="Arial" w:cs="Arial"/>
          <w:sz w:val="24"/>
          <w:szCs w:val="24"/>
        </w:rPr>
      </w:pPr>
    </w:p>
    <w:p w14:paraId="38EB795E" w14:textId="77777777" w:rsidR="00D55A43" w:rsidRPr="00D55A43" w:rsidRDefault="00D55A43" w:rsidP="00D55A43">
      <w:pPr>
        <w:spacing w:after="0" w:line="240" w:lineRule="auto"/>
        <w:rPr>
          <w:rFonts w:ascii="Arial" w:eastAsiaTheme="minorHAnsi" w:hAnsi="Arial" w:cs="Arial"/>
          <w:sz w:val="24"/>
          <w:szCs w:val="24"/>
        </w:rPr>
      </w:pPr>
    </w:p>
    <w:p w14:paraId="3C9BE091" w14:textId="77777777" w:rsidR="00D55A43" w:rsidRPr="00D55A43" w:rsidRDefault="00D55A43" w:rsidP="00D55A43">
      <w:pPr>
        <w:spacing w:after="0" w:line="240" w:lineRule="auto"/>
        <w:rPr>
          <w:rFonts w:ascii="Arial" w:eastAsiaTheme="minorHAnsi" w:hAnsi="Arial" w:cs="Arial"/>
          <w:sz w:val="24"/>
          <w:szCs w:val="24"/>
        </w:rPr>
      </w:pPr>
      <w:r w:rsidRPr="00D55A43">
        <w:rPr>
          <w:rFonts w:ascii="Arial" w:eastAsiaTheme="minorHAnsi" w:hAnsi="Arial" w:cs="Arial"/>
          <w:sz w:val="24"/>
          <w:szCs w:val="24"/>
        </w:rPr>
        <w:t>___________________________</w:t>
      </w:r>
    </w:p>
    <w:p w14:paraId="4302F736" w14:textId="77777777" w:rsidR="00D55A43" w:rsidRPr="00D55A43" w:rsidRDefault="00D55A43" w:rsidP="00D55A43">
      <w:pPr>
        <w:spacing w:after="0" w:line="240" w:lineRule="auto"/>
        <w:rPr>
          <w:rFonts w:ascii="Arial" w:eastAsiaTheme="minorHAnsi" w:hAnsi="Arial" w:cs="Arial"/>
          <w:sz w:val="24"/>
          <w:szCs w:val="24"/>
        </w:rPr>
      </w:pPr>
      <w:r w:rsidRPr="00D55A43">
        <w:rPr>
          <w:rFonts w:ascii="Arial" w:eastAsiaTheme="minorHAnsi" w:hAnsi="Arial" w:cs="Arial"/>
          <w:sz w:val="24"/>
          <w:szCs w:val="24"/>
        </w:rPr>
        <w:t>Nancy Lee, Finance Officer</w:t>
      </w:r>
    </w:p>
    <w:p w14:paraId="63D2B8F8" w14:textId="77777777" w:rsidR="00D55A43" w:rsidRPr="00D55A43" w:rsidRDefault="00D55A43" w:rsidP="00D55A43">
      <w:pPr>
        <w:spacing w:after="0" w:line="240" w:lineRule="auto"/>
        <w:rPr>
          <w:rFonts w:ascii="Arial" w:eastAsiaTheme="minorHAnsi" w:hAnsi="Arial" w:cs="Arial"/>
          <w:sz w:val="24"/>
          <w:szCs w:val="24"/>
        </w:rPr>
      </w:pPr>
    </w:p>
    <w:p w14:paraId="260EE095" w14:textId="77777777" w:rsidR="00D55A43" w:rsidRPr="00D55A43" w:rsidRDefault="00D55A43" w:rsidP="00D55A43">
      <w:pPr>
        <w:spacing w:after="0" w:line="240" w:lineRule="auto"/>
        <w:rPr>
          <w:rFonts w:ascii="Arial" w:eastAsiaTheme="minorHAnsi" w:hAnsi="Arial" w:cs="Arial"/>
          <w:sz w:val="24"/>
          <w:szCs w:val="24"/>
        </w:rPr>
      </w:pPr>
    </w:p>
    <w:p w14:paraId="23CA697B" w14:textId="77777777" w:rsidR="00D55A43" w:rsidRPr="00D55A43" w:rsidRDefault="00D55A43" w:rsidP="00D55A43">
      <w:pPr>
        <w:spacing w:after="0" w:line="240" w:lineRule="auto"/>
        <w:rPr>
          <w:rFonts w:ascii="Arial" w:eastAsiaTheme="minorHAnsi" w:hAnsi="Arial" w:cs="Arial"/>
          <w:sz w:val="24"/>
          <w:szCs w:val="24"/>
        </w:rPr>
      </w:pPr>
    </w:p>
    <w:p w14:paraId="273D53C0" w14:textId="77777777" w:rsidR="00D55A43" w:rsidRPr="00D55A43" w:rsidRDefault="00D55A43" w:rsidP="00D55A43">
      <w:pPr>
        <w:spacing w:after="0" w:line="240" w:lineRule="auto"/>
        <w:rPr>
          <w:rFonts w:ascii="Arial" w:eastAsiaTheme="minorHAnsi" w:hAnsi="Arial" w:cs="Arial"/>
          <w:sz w:val="24"/>
          <w:szCs w:val="24"/>
        </w:rPr>
      </w:pPr>
    </w:p>
    <w:p w14:paraId="76C2ABD6" w14:textId="77777777" w:rsidR="00D55A43" w:rsidRPr="00D55A43" w:rsidRDefault="00D55A43" w:rsidP="00D55A43">
      <w:pPr>
        <w:spacing w:after="0" w:line="240" w:lineRule="auto"/>
        <w:rPr>
          <w:rFonts w:ascii="Arial" w:eastAsiaTheme="minorHAnsi" w:hAnsi="Arial" w:cs="Arial"/>
          <w:sz w:val="24"/>
          <w:szCs w:val="24"/>
        </w:rPr>
      </w:pPr>
    </w:p>
    <w:p w14:paraId="54CF4E24" w14:textId="63019264" w:rsidR="005073C2" w:rsidRDefault="00D55A43" w:rsidP="007E2265">
      <w:pPr>
        <w:rPr>
          <w:rFonts w:ascii="Times New Roman" w:hAnsi="Times New Roman"/>
          <w:sz w:val="24"/>
          <w:szCs w:val="24"/>
        </w:rPr>
      </w:pPr>
      <w:r>
        <w:rPr>
          <w:rFonts w:ascii="Times New Roman" w:hAnsi="Times New Roman"/>
          <w:sz w:val="24"/>
          <w:szCs w:val="24"/>
        </w:rPr>
        <w:tab/>
      </w:r>
      <w:r w:rsidR="008153F2">
        <w:rPr>
          <w:rFonts w:ascii="Times New Roman" w:hAnsi="Times New Roman"/>
          <w:sz w:val="24"/>
          <w:szCs w:val="24"/>
        </w:rPr>
        <w:t>Hughes made a motion to sell the Big Stone City school to the Big Stone City EDA for $1.00 with B. Goergen seconded. Upon roll call Ayes: B. Goergen, Hughes, Roscoe, A. Goergen and Redfield. Nayes: None. Absent: Stoddard. Motion Carried.</w:t>
      </w:r>
    </w:p>
    <w:p w14:paraId="55F8E99D" w14:textId="77777777" w:rsidR="00222053" w:rsidRDefault="00703BA7" w:rsidP="007E2265">
      <w:pPr>
        <w:rPr>
          <w:rFonts w:ascii="Times New Roman" w:hAnsi="Times New Roman"/>
          <w:sz w:val="24"/>
          <w:szCs w:val="24"/>
        </w:rPr>
      </w:pPr>
      <w:r>
        <w:rPr>
          <w:rFonts w:ascii="Times New Roman" w:hAnsi="Times New Roman"/>
          <w:sz w:val="24"/>
          <w:szCs w:val="24"/>
        </w:rPr>
        <w:tab/>
        <w:t>Redfield made a motion</w:t>
      </w:r>
      <w:r w:rsidR="00222053">
        <w:rPr>
          <w:rFonts w:ascii="Times New Roman" w:hAnsi="Times New Roman"/>
          <w:sz w:val="24"/>
          <w:szCs w:val="24"/>
        </w:rPr>
        <w:t xml:space="preserve"> that the Big Stone City School be rezoned as commercial property with Roscoe seconded. All in favor. Absent: Stoddard. Motion Carried.</w:t>
      </w:r>
    </w:p>
    <w:p w14:paraId="68B36CB6" w14:textId="55B4A82A" w:rsidR="0086501F" w:rsidRDefault="00222053" w:rsidP="007E2265">
      <w:pPr>
        <w:rPr>
          <w:rFonts w:ascii="Times New Roman" w:hAnsi="Times New Roman"/>
          <w:sz w:val="24"/>
          <w:szCs w:val="24"/>
        </w:rPr>
      </w:pPr>
      <w:r>
        <w:rPr>
          <w:rFonts w:ascii="Times New Roman" w:hAnsi="Times New Roman"/>
          <w:sz w:val="24"/>
          <w:szCs w:val="24"/>
        </w:rPr>
        <w:tab/>
        <w:t xml:space="preserve">Hughes made a motion to approve the transfer of </w:t>
      </w:r>
      <w:r w:rsidR="0086501F">
        <w:rPr>
          <w:rFonts w:ascii="Times New Roman" w:hAnsi="Times New Roman"/>
          <w:sz w:val="24"/>
          <w:szCs w:val="24"/>
        </w:rPr>
        <w:t>Retail On &amp; Off Sale Wine License RW-21731 from JW &amp; S</w:t>
      </w:r>
      <w:r w:rsidR="008D6A64">
        <w:rPr>
          <w:rFonts w:ascii="Times New Roman" w:hAnsi="Times New Roman"/>
          <w:sz w:val="24"/>
          <w:szCs w:val="24"/>
        </w:rPr>
        <w:t>W</w:t>
      </w:r>
      <w:r w:rsidR="0086501F">
        <w:rPr>
          <w:rFonts w:ascii="Times New Roman" w:hAnsi="Times New Roman"/>
          <w:sz w:val="24"/>
          <w:szCs w:val="24"/>
        </w:rPr>
        <w:t xml:space="preserve"> Inc. to Grocery Basket LLC</w:t>
      </w:r>
      <w:r w:rsidR="008D6A64">
        <w:rPr>
          <w:rFonts w:ascii="Times New Roman" w:hAnsi="Times New Roman"/>
          <w:sz w:val="24"/>
          <w:szCs w:val="24"/>
        </w:rPr>
        <w:t>.</w:t>
      </w:r>
      <w:r w:rsidR="0086501F">
        <w:rPr>
          <w:rFonts w:ascii="Times New Roman" w:hAnsi="Times New Roman"/>
          <w:sz w:val="24"/>
          <w:szCs w:val="24"/>
        </w:rPr>
        <w:t xml:space="preserve">  A. Goergen seconded. All in favor. Absent: Stoddard. Motion Carried.</w:t>
      </w:r>
    </w:p>
    <w:p w14:paraId="3972B794" w14:textId="0EA42ED3" w:rsidR="00703BA7" w:rsidRDefault="0086501F" w:rsidP="007E2265">
      <w:pPr>
        <w:rPr>
          <w:rFonts w:ascii="Times New Roman" w:hAnsi="Times New Roman"/>
          <w:sz w:val="24"/>
          <w:szCs w:val="24"/>
        </w:rPr>
      </w:pPr>
      <w:r>
        <w:rPr>
          <w:rFonts w:ascii="Times New Roman" w:hAnsi="Times New Roman"/>
          <w:sz w:val="24"/>
          <w:szCs w:val="24"/>
        </w:rPr>
        <w:lastRenderedPageBreak/>
        <w:tab/>
        <w:t>Hughes made a motion to approve the transfer of Retail On &amp; Off Sale Malt Beverage License RB-3420</w:t>
      </w:r>
      <w:r w:rsidR="00222053">
        <w:rPr>
          <w:rFonts w:ascii="Times New Roman" w:hAnsi="Times New Roman"/>
          <w:sz w:val="24"/>
          <w:szCs w:val="24"/>
        </w:rPr>
        <w:t xml:space="preserve"> </w:t>
      </w:r>
      <w:r>
        <w:rPr>
          <w:rFonts w:ascii="Times New Roman" w:hAnsi="Times New Roman"/>
          <w:sz w:val="24"/>
          <w:szCs w:val="24"/>
        </w:rPr>
        <w:t>from JW &amp; SW Inc. to Grocery Basket LLC</w:t>
      </w:r>
      <w:r w:rsidR="008D6A64">
        <w:rPr>
          <w:rFonts w:ascii="Times New Roman" w:hAnsi="Times New Roman"/>
          <w:sz w:val="24"/>
          <w:szCs w:val="24"/>
        </w:rPr>
        <w:t>.</w:t>
      </w:r>
      <w:r>
        <w:rPr>
          <w:rFonts w:ascii="Times New Roman" w:hAnsi="Times New Roman"/>
          <w:sz w:val="24"/>
          <w:szCs w:val="24"/>
        </w:rPr>
        <w:t xml:space="preserve"> A. Gorgen seconded. All in favor. Absent: Stoddard. Motion Carried.</w:t>
      </w:r>
      <w:r w:rsidR="00222053">
        <w:rPr>
          <w:rFonts w:ascii="Times New Roman" w:hAnsi="Times New Roman"/>
          <w:sz w:val="24"/>
          <w:szCs w:val="24"/>
        </w:rPr>
        <w:t xml:space="preserve"> </w:t>
      </w:r>
    </w:p>
    <w:p w14:paraId="0037F168" w14:textId="17FA0390" w:rsidR="0086501F" w:rsidRDefault="0086501F" w:rsidP="007E2265">
      <w:pPr>
        <w:rPr>
          <w:rFonts w:ascii="Times New Roman" w:hAnsi="Times New Roman"/>
          <w:sz w:val="24"/>
          <w:szCs w:val="24"/>
        </w:rPr>
      </w:pPr>
      <w:r>
        <w:rPr>
          <w:rFonts w:ascii="Times New Roman" w:hAnsi="Times New Roman"/>
          <w:sz w:val="24"/>
          <w:szCs w:val="24"/>
        </w:rPr>
        <w:tab/>
        <w:t xml:space="preserve">Community Room A/C was discussed </w:t>
      </w:r>
      <w:r w:rsidR="008D6A64">
        <w:rPr>
          <w:rFonts w:ascii="Times New Roman" w:hAnsi="Times New Roman"/>
          <w:sz w:val="24"/>
          <w:szCs w:val="24"/>
        </w:rPr>
        <w:t>and council tabled until July 7</w:t>
      </w:r>
      <w:r w:rsidR="008D6A64" w:rsidRPr="008D6A64">
        <w:rPr>
          <w:rFonts w:ascii="Times New Roman" w:hAnsi="Times New Roman"/>
          <w:sz w:val="24"/>
          <w:szCs w:val="24"/>
          <w:vertAlign w:val="superscript"/>
        </w:rPr>
        <w:t>th</w:t>
      </w:r>
      <w:r w:rsidR="008D6A64">
        <w:rPr>
          <w:rFonts w:ascii="Times New Roman" w:hAnsi="Times New Roman"/>
          <w:sz w:val="24"/>
          <w:szCs w:val="24"/>
        </w:rPr>
        <w:t xml:space="preserve"> meeting.</w:t>
      </w:r>
    </w:p>
    <w:p w14:paraId="4C1C9AB7" w14:textId="6E2107EE" w:rsidR="00C34039" w:rsidRDefault="00C34039" w:rsidP="007E2265">
      <w:pPr>
        <w:rPr>
          <w:rFonts w:ascii="Times New Roman" w:hAnsi="Times New Roman"/>
          <w:sz w:val="24"/>
          <w:szCs w:val="24"/>
        </w:rPr>
      </w:pPr>
      <w:r>
        <w:rPr>
          <w:rFonts w:ascii="Times New Roman" w:hAnsi="Times New Roman"/>
          <w:sz w:val="24"/>
          <w:szCs w:val="24"/>
        </w:rPr>
        <w:tab/>
        <w:t>Deb Wiik asked the council if the School Alumni would still be able to tour the school as planned for the All School Reunion on July 5</w:t>
      </w:r>
      <w:r w:rsidRPr="00C34039">
        <w:rPr>
          <w:rFonts w:ascii="Times New Roman" w:hAnsi="Times New Roman"/>
          <w:sz w:val="24"/>
          <w:szCs w:val="24"/>
          <w:vertAlign w:val="superscript"/>
        </w:rPr>
        <w:t>t</w:t>
      </w:r>
      <w:r>
        <w:rPr>
          <w:rFonts w:ascii="Times New Roman" w:hAnsi="Times New Roman"/>
          <w:sz w:val="24"/>
          <w:szCs w:val="24"/>
          <w:vertAlign w:val="superscript"/>
        </w:rPr>
        <w:t>h</w:t>
      </w:r>
      <w:r>
        <w:rPr>
          <w:rFonts w:ascii="Times New Roman" w:hAnsi="Times New Roman"/>
          <w:sz w:val="24"/>
          <w:szCs w:val="24"/>
        </w:rPr>
        <w:t xml:space="preserve">. with the new ownership of the School property. Council advised Wiik that </w:t>
      </w:r>
      <w:r w:rsidR="00D55A43">
        <w:rPr>
          <w:rFonts w:ascii="Times New Roman" w:hAnsi="Times New Roman"/>
          <w:sz w:val="24"/>
          <w:szCs w:val="24"/>
        </w:rPr>
        <w:t>Y</w:t>
      </w:r>
      <w:r>
        <w:rPr>
          <w:rFonts w:ascii="Times New Roman" w:hAnsi="Times New Roman"/>
          <w:sz w:val="24"/>
          <w:szCs w:val="24"/>
        </w:rPr>
        <w:t xml:space="preserve">es the Alumni would still be able to tour the School. </w:t>
      </w:r>
    </w:p>
    <w:p w14:paraId="798DED33" w14:textId="4A246032" w:rsidR="005874EA" w:rsidRDefault="005874EA" w:rsidP="007E2265">
      <w:pPr>
        <w:rPr>
          <w:rFonts w:ascii="Times New Roman" w:hAnsi="Times New Roman"/>
          <w:sz w:val="24"/>
          <w:szCs w:val="24"/>
        </w:rPr>
      </w:pPr>
      <w:r>
        <w:rPr>
          <w:rFonts w:ascii="Times New Roman" w:hAnsi="Times New Roman"/>
          <w:sz w:val="24"/>
          <w:szCs w:val="24"/>
        </w:rPr>
        <w:tab/>
        <w:t xml:space="preserve">With no further business </w:t>
      </w:r>
      <w:r w:rsidR="00946F54">
        <w:rPr>
          <w:rFonts w:ascii="Times New Roman" w:hAnsi="Times New Roman"/>
          <w:sz w:val="24"/>
          <w:szCs w:val="24"/>
        </w:rPr>
        <w:t>R</w:t>
      </w:r>
      <w:r w:rsidR="00AA4570">
        <w:rPr>
          <w:rFonts w:ascii="Times New Roman" w:hAnsi="Times New Roman"/>
          <w:sz w:val="24"/>
          <w:szCs w:val="24"/>
        </w:rPr>
        <w:t>edfield</w:t>
      </w:r>
      <w:r>
        <w:rPr>
          <w:rFonts w:ascii="Times New Roman" w:hAnsi="Times New Roman"/>
          <w:sz w:val="24"/>
          <w:szCs w:val="24"/>
        </w:rPr>
        <w:t xml:space="preserve"> called to adjourn the regular meeting at </w:t>
      </w:r>
      <w:r w:rsidR="00AA4570">
        <w:rPr>
          <w:rFonts w:ascii="Times New Roman" w:hAnsi="Times New Roman"/>
          <w:sz w:val="24"/>
          <w:szCs w:val="24"/>
        </w:rPr>
        <w:t>5</w:t>
      </w:r>
      <w:r>
        <w:rPr>
          <w:rFonts w:ascii="Times New Roman" w:hAnsi="Times New Roman"/>
          <w:sz w:val="24"/>
          <w:szCs w:val="24"/>
        </w:rPr>
        <w:t>:</w:t>
      </w:r>
      <w:r w:rsidR="00AA4570">
        <w:rPr>
          <w:rFonts w:ascii="Times New Roman" w:hAnsi="Times New Roman"/>
          <w:sz w:val="24"/>
          <w:szCs w:val="24"/>
        </w:rPr>
        <w:t>47</w:t>
      </w:r>
      <w:r>
        <w:rPr>
          <w:rFonts w:ascii="Times New Roman" w:hAnsi="Times New Roman"/>
          <w:sz w:val="24"/>
          <w:szCs w:val="24"/>
        </w:rPr>
        <w:t xml:space="preserve"> p.m. </w:t>
      </w:r>
      <w:r w:rsidR="005073C2">
        <w:rPr>
          <w:rFonts w:ascii="Times New Roman" w:hAnsi="Times New Roman"/>
          <w:sz w:val="24"/>
          <w:szCs w:val="24"/>
        </w:rPr>
        <w:t>Hughes</w:t>
      </w:r>
      <w:r>
        <w:rPr>
          <w:rFonts w:ascii="Times New Roman" w:hAnsi="Times New Roman"/>
          <w:sz w:val="24"/>
          <w:szCs w:val="24"/>
        </w:rPr>
        <w:t xml:space="preserve"> second</w:t>
      </w:r>
      <w:r w:rsidR="00D10D94">
        <w:rPr>
          <w:rFonts w:ascii="Times New Roman" w:hAnsi="Times New Roman"/>
          <w:sz w:val="24"/>
          <w:szCs w:val="24"/>
        </w:rPr>
        <w:t>ed</w:t>
      </w:r>
      <w:r>
        <w:rPr>
          <w:rFonts w:ascii="Times New Roman" w:hAnsi="Times New Roman"/>
          <w:sz w:val="24"/>
          <w:szCs w:val="24"/>
        </w:rPr>
        <w:t>. All in favor. Motion Carried.</w:t>
      </w:r>
    </w:p>
    <w:p w14:paraId="75B8B47C" w14:textId="77777777" w:rsidR="00A430BB" w:rsidRDefault="00A430BB" w:rsidP="007E2265">
      <w:pPr>
        <w:rPr>
          <w:rFonts w:ascii="Times New Roman" w:hAnsi="Times New Roman"/>
          <w:sz w:val="24"/>
          <w:szCs w:val="24"/>
        </w:rPr>
      </w:pP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B84B60"/>
    <w:multiLevelType w:val="hybridMultilevel"/>
    <w:tmpl w:val="CF00B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9716866">
    <w:abstractNumId w:val="0"/>
  </w:num>
  <w:num w:numId="2" w16cid:durableId="973800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1244"/>
    <w:rsid w:val="000348FE"/>
    <w:rsid w:val="00086E90"/>
    <w:rsid w:val="00096AC5"/>
    <w:rsid w:val="000B03FA"/>
    <w:rsid w:val="000B0F81"/>
    <w:rsid w:val="000E45CD"/>
    <w:rsid w:val="000F655C"/>
    <w:rsid w:val="00101C96"/>
    <w:rsid w:val="0010606C"/>
    <w:rsid w:val="00115245"/>
    <w:rsid w:val="0013172E"/>
    <w:rsid w:val="00134684"/>
    <w:rsid w:val="001400D8"/>
    <w:rsid w:val="001548DB"/>
    <w:rsid w:val="00166981"/>
    <w:rsid w:val="00166DB4"/>
    <w:rsid w:val="00167747"/>
    <w:rsid w:val="0018286B"/>
    <w:rsid w:val="001A2667"/>
    <w:rsid w:val="001A5854"/>
    <w:rsid w:val="001A71D8"/>
    <w:rsid w:val="001C122E"/>
    <w:rsid w:val="001C7529"/>
    <w:rsid w:val="001E065D"/>
    <w:rsid w:val="001E667D"/>
    <w:rsid w:val="00200AB9"/>
    <w:rsid w:val="00212B92"/>
    <w:rsid w:val="00217E26"/>
    <w:rsid w:val="00222053"/>
    <w:rsid w:val="00286D0A"/>
    <w:rsid w:val="002966BF"/>
    <w:rsid w:val="002C59B8"/>
    <w:rsid w:val="00332C09"/>
    <w:rsid w:val="00351319"/>
    <w:rsid w:val="003535C9"/>
    <w:rsid w:val="0039080E"/>
    <w:rsid w:val="00391C43"/>
    <w:rsid w:val="003A42E7"/>
    <w:rsid w:val="003A5751"/>
    <w:rsid w:val="003C3A33"/>
    <w:rsid w:val="00423D06"/>
    <w:rsid w:val="00447E3C"/>
    <w:rsid w:val="00470CBE"/>
    <w:rsid w:val="00477D6F"/>
    <w:rsid w:val="004C4B33"/>
    <w:rsid w:val="004F1D2D"/>
    <w:rsid w:val="004F278E"/>
    <w:rsid w:val="00502F38"/>
    <w:rsid w:val="005073C2"/>
    <w:rsid w:val="00537698"/>
    <w:rsid w:val="00537A02"/>
    <w:rsid w:val="00553643"/>
    <w:rsid w:val="0055468F"/>
    <w:rsid w:val="005616D7"/>
    <w:rsid w:val="005635D7"/>
    <w:rsid w:val="00570EB2"/>
    <w:rsid w:val="00577B97"/>
    <w:rsid w:val="005839E8"/>
    <w:rsid w:val="005874EA"/>
    <w:rsid w:val="0059301F"/>
    <w:rsid w:val="005C1C64"/>
    <w:rsid w:val="005E20CE"/>
    <w:rsid w:val="006000D3"/>
    <w:rsid w:val="00632A87"/>
    <w:rsid w:val="00635190"/>
    <w:rsid w:val="00650E06"/>
    <w:rsid w:val="00655FB4"/>
    <w:rsid w:val="00670D4A"/>
    <w:rsid w:val="006B22F5"/>
    <w:rsid w:val="006B622A"/>
    <w:rsid w:val="006C1C6B"/>
    <w:rsid w:val="006C62C7"/>
    <w:rsid w:val="006D704C"/>
    <w:rsid w:val="006E1DAC"/>
    <w:rsid w:val="006E4751"/>
    <w:rsid w:val="00703BA7"/>
    <w:rsid w:val="00714460"/>
    <w:rsid w:val="00724919"/>
    <w:rsid w:val="00731CC3"/>
    <w:rsid w:val="007411C0"/>
    <w:rsid w:val="007547F4"/>
    <w:rsid w:val="00760265"/>
    <w:rsid w:val="00770217"/>
    <w:rsid w:val="00791A7C"/>
    <w:rsid w:val="007936A2"/>
    <w:rsid w:val="00797BA3"/>
    <w:rsid w:val="007D3F4B"/>
    <w:rsid w:val="007E2265"/>
    <w:rsid w:val="007E512A"/>
    <w:rsid w:val="00802BDB"/>
    <w:rsid w:val="008153F2"/>
    <w:rsid w:val="00833159"/>
    <w:rsid w:val="00835D76"/>
    <w:rsid w:val="00853CC7"/>
    <w:rsid w:val="00861810"/>
    <w:rsid w:val="0086501F"/>
    <w:rsid w:val="008678E7"/>
    <w:rsid w:val="00887E4F"/>
    <w:rsid w:val="008D6A64"/>
    <w:rsid w:val="008E5B63"/>
    <w:rsid w:val="008F44B2"/>
    <w:rsid w:val="00900C0E"/>
    <w:rsid w:val="009147A2"/>
    <w:rsid w:val="009157B9"/>
    <w:rsid w:val="009167DD"/>
    <w:rsid w:val="009262C4"/>
    <w:rsid w:val="009353A6"/>
    <w:rsid w:val="0094440D"/>
    <w:rsid w:val="00946F54"/>
    <w:rsid w:val="009560AD"/>
    <w:rsid w:val="009562E3"/>
    <w:rsid w:val="009600C8"/>
    <w:rsid w:val="00963864"/>
    <w:rsid w:val="00973826"/>
    <w:rsid w:val="0098355D"/>
    <w:rsid w:val="00984B9D"/>
    <w:rsid w:val="00984D8D"/>
    <w:rsid w:val="009B2A7F"/>
    <w:rsid w:val="009E3F68"/>
    <w:rsid w:val="00A01A23"/>
    <w:rsid w:val="00A053C8"/>
    <w:rsid w:val="00A430BB"/>
    <w:rsid w:val="00A47850"/>
    <w:rsid w:val="00A5606B"/>
    <w:rsid w:val="00A61B59"/>
    <w:rsid w:val="00AA4570"/>
    <w:rsid w:val="00AB3BC3"/>
    <w:rsid w:val="00AD1FFE"/>
    <w:rsid w:val="00AD3A61"/>
    <w:rsid w:val="00B179D6"/>
    <w:rsid w:val="00B22951"/>
    <w:rsid w:val="00B32214"/>
    <w:rsid w:val="00B525C1"/>
    <w:rsid w:val="00B732B0"/>
    <w:rsid w:val="00BD6B61"/>
    <w:rsid w:val="00BE61AF"/>
    <w:rsid w:val="00C0030D"/>
    <w:rsid w:val="00C041A1"/>
    <w:rsid w:val="00C11AF1"/>
    <w:rsid w:val="00C121F5"/>
    <w:rsid w:val="00C16089"/>
    <w:rsid w:val="00C33ABF"/>
    <w:rsid w:val="00C34039"/>
    <w:rsid w:val="00C443D3"/>
    <w:rsid w:val="00C5528F"/>
    <w:rsid w:val="00C66504"/>
    <w:rsid w:val="00C705F6"/>
    <w:rsid w:val="00C809C0"/>
    <w:rsid w:val="00C83AF5"/>
    <w:rsid w:val="00C83EDC"/>
    <w:rsid w:val="00C922F8"/>
    <w:rsid w:val="00C93795"/>
    <w:rsid w:val="00CA668C"/>
    <w:rsid w:val="00CB6D19"/>
    <w:rsid w:val="00CD01E9"/>
    <w:rsid w:val="00CD33A5"/>
    <w:rsid w:val="00D10531"/>
    <w:rsid w:val="00D10D94"/>
    <w:rsid w:val="00D25654"/>
    <w:rsid w:val="00D4074D"/>
    <w:rsid w:val="00D432A5"/>
    <w:rsid w:val="00D55A43"/>
    <w:rsid w:val="00D81837"/>
    <w:rsid w:val="00D82F48"/>
    <w:rsid w:val="00D93041"/>
    <w:rsid w:val="00DA635D"/>
    <w:rsid w:val="00DB4E19"/>
    <w:rsid w:val="00DB5FB2"/>
    <w:rsid w:val="00DC2F8C"/>
    <w:rsid w:val="00DC5A45"/>
    <w:rsid w:val="00DD4204"/>
    <w:rsid w:val="00DD7516"/>
    <w:rsid w:val="00E22C55"/>
    <w:rsid w:val="00E53901"/>
    <w:rsid w:val="00E65536"/>
    <w:rsid w:val="00E702A5"/>
    <w:rsid w:val="00E70A58"/>
    <w:rsid w:val="00E805BC"/>
    <w:rsid w:val="00E862E4"/>
    <w:rsid w:val="00E87B38"/>
    <w:rsid w:val="00E92CF3"/>
    <w:rsid w:val="00EA695D"/>
    <w:rsid w:val="00EC3F92"/>
    <w:rsid w:val="00EF4880"/>
    <w:rsid w:val="00F11F5B"/>
    <w:rsid w:val="00F12A8C"/>
    <w:rsid w:val="00F3512B"/>
    <w:rsid w:val="00F47F50"/>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643F0-720A-43DE-867A-6823C1509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4</Pages>
  <Words>1120</Words>
  <Characters>6385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6</cp:revision>
  <cp:lastPrinted>2025-07-01T15:44:00Z</cp:lastPrinted>
  <dcterms:created xsi:type="dcterms:W3CDTF">2025-07-01T14:30:00Z</dcterms:created>
  <dcterms:modified xsi:type="dcterms:W3CDTF">2025-07-03T16:15:00Z</dcterms:modified>
</cp:coreProperties>
</file>